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E18" w:rsidRPr="00326E18" w:rsidRDefault="00326E18" w:rsidP="00326E18">
      <w:pPr>
        <w:adjustRightInd w:val="0"/>
        <w:snapToGrid w:val="0"/>
        <w:spacing w:line="355" w:lineRule="auto"/>
        <w:rPr>
          <w:rFonts w:ascii="仿宋_GB2312" w:eastAsia="仿宋_GB2312" w:hAnsi="仿宋_GB2312" w:cs="仿宋_GB2312"/>
          <w:sz w:val="32"/>
          <w:szCs w:val="32"/>
        </w:rPr>
      </w:pPr>
      <w:bookmarkStart w:id="0" w:name="_GoBack"/>
      <w:bookmarkEnd w:id="0"/>
    </w:p>
    <w:p w:rsidR="00326E18" w:rsidRPr="006E0372" w:rsidRDefault="00326E18" w:rsidP="00326E18">
      <w:pPr>
        <w:pStyle w:val="11111"/>
        <w:rPr>
          <w:rFonts w:eastAsia="宋体" w:hint="eastAsia"/>
          <w:b/>
        </w:rPr>
      </w:pPr>
      <w:r w:rsidRPr="006E0372">
        <w:rPr>
          <w:rFonts w:eastAsia="宋体" w:hint="eastAsia"/>
          <w:b/>
        </w:rPr>
        <w:t>尾矿污染环境防治管理办法</w:t>
      </w:r>
    </w:p>
    <w:p w:rsidR="00326E18" w:rsidRPr="00001490" w:rsidRDefault="00326E18" w:rsidP="00001490">
      <w:pPr>
        <w:pStyle w:val="3"/>
        <w:shd w:val="clear" w:color="auto" w:fill="FFFFFF"/>
        <w:spacing w:before="270" w:after="450" w:line="450" w:lineRule="atLeast"/>
        <w:ind w:leftChars="0" w:left="0" w:firstLineChars="200" w:firstLine="616"/>
        <w:jc w:val="left"/>
        <w:rPr>
          <w:rFonts w:ascii="楷体" w:eastAsia="楷体" w:hAnsi="楷体"/>
          <w:b w:val="0"/>
          <w:color w:val="000000"/>
          <w:sz w:val="32"/>
          <w:szCs w:val="32"/>
        </w:rPr>
      </w:pPr>
      <w:r w:rsidRPr="00001490">
        <w:rPr>
          <w:rFonts w:ascii="楷体" w:eastAsia="楷体" w:hAnsi="楷体" w:cs="楷体_GB2312" w:hint="eastAsia"/>
          <w:b w:val="0"/>
          <w:bCs/>
          <w:sz w:val="32"/>
          <w:szCs w:val="32"/>
        </w:rPr>
        <w:t>（</w:t>
      </w:r>
      <w:r w:rsidR="006E0372" w:rsidRPr="00001490">
        <w:rPr>
          <w:rFonts w:ascii="楷体" w:eastAsia="楷体" w:hAnsi="楷体"/>
          <w:b w:val="0"/>
          <w:bCs/>
          <w:color w:val="000000"/>
          <w:sz w:val="32"/>
          <w:szCs w:val="32"/>
        </w:rPr>
        <w:t>202</w:t>
      </w:r>
      <w:r w:rsidR="006E0372" w:rsidRPr="00001490">
        <w:rPr>
          <w:rFonts w:ascii="楷体" w:eastAsia="楷体" w:hAnsi="楷体" w:hint="eastAsia"/>
          <w:b w:val="0"/>
          <w:bCs/>
          <w:color w:val="000000"/>
          <w:sz w:val="32"/>
          <w:szCs w:val="32"/>
        </w:rPr>
        <w:t>2</w:t>
      </w:r>
      <w:r w:rsidR="006E0372" w:rsidRPr="00001490">
        <w:rPr>
          <w:rFonts w:ascii="楷体" w:eastAsia="楷体" w:hAnsi="楷体"/>
          <w:b w:val="0"/>
          <w:bCs/>
          <w:color w:val="000000"/>
          <w:sz w:val="32"/>
          <w:szCs w:val="32"/>
        </w:rPr>
        <w:t>年</w:t>
      </w:r>
      <w:r w:rsidR="006E0372" w:rsidRPr="00001490">
        <w:rPr>
          <w:rFonts w:ascii="楷体" w:eastAsia="楷体" w:hAnsi="楷体" w:hint="eastAsia"/>
          <w:b w:val="0"/>
          <w:bCs/>
          <w:color w:val="000000"/>
          <w:sz w:val="32"/>
          <w:szCs w:val="32"/>
        </w:rPr>
        <w:t>4</w:t>
      </w:r>
      <w:r w:rsidR="006E0372" w:rsidRPr="00001490">
        <w:rPr>
          <w:rFonts w:ascii="楷体" w:eastAsia="楷体" w:hAnsi="楷体"/>
          <w:b w:val="0"/>
          <w:bCs/>
          <w:color w:val="000000"/>
          <w:sz w:val="32"/>
          <w:szCs w:val="32"/>
        </w:rPr>
        <w:t>月</w:t>
      </w:r>
      <w:r w:rsidR="006E0372" w:rsidRPr="00001490">
        <w:rPr>
          <w:rFonts w:ascii="楷体" w:eastAsia="楷体" w:hAnsi="楷体" w:hint="eastAsia"/>
          <w:b w:val="0"/>
          <w:bCs/>
          <w:color w:val="000000"/>
          <w:sz w:val="32"/>
          <w:szCs w:val="32"/>
        </w:rPr>
        <w:t>6</w:t>
      </w:r>
      <w:r w:rsidR="006E0372" w:rsidRPr="00001490">
        <w:rPr>
          <w:rFonts w:ascii="楷体" w:eastAsia="楷体" w:hAnsi="楷体"/>
          <w:b w:val="0"/>
          <w:bCs/>
          <w:color w:val="000000"/>
          <w:sz w:val="32"/>
          <w:szCs w:val="32"/>
        </w:rPr>
        <w:t>日生态环境部令第2</w:t>
      </w:r>
      <w:r w:rsidR="006E0372" w:rsidRPr="00001490">
        <w:rPr>
          <w:rFonts w:ascii="楷体" w:eastAsia="楷体" w:hAnsi="楷体" w:hint="eastAsia"/>
          <w:b w:val="0"/>
          <w:bCs/>
          <w:color w:val="000000"/>
          <w:sz w:val="32"/>
          <w:szCs w:val="32"/>
        </w:rPr>
        <w:t>6</w:t>
      </w:r>
      <w:r w:rsidR="006E0372" w:rsidRPr="00001490">
        <w:rPr>
          <w:rFonts w:ascii="楷体" w:eastAsia="楷体" w:hAnsi="楷体"/>
          <w:b w:val="0"/>
          <w:bCs/>
          <w:color w:val="000000"/>
          <w:sz w:val="32"/>
          <w:szCs w:val="32"/>
        </w:rPr>
        <w:t>号公布</w:t>
      </w:r>
      <w:r w:rsidR="00001490">
        <w:rPr>
          <w:rFonts w:ascii="楷体" w:eastAsia="楷体" w:hAnsi="楷体" w:hint="eastAsia"/>
          <w:b w:val="0"/>
          <w:bCs/>
          <w:color w:val="000000"/>
          <w:sz w:val="32"/>
          <w:szCs w:val="32"/>
        </w:rPr>
        <w:t xml:space="preserve"> </w:t>
      </w:r>
      <w:r w:rsidR="006E0372" w:rsidRPr="00001490">
        <w:rPr>
          <w:rFonts w:ascii="楷体" w:eastAsia="楷体" w:hAnsi="楷体" w:cs="楷体_GB2312" w:hint="eastAsia"/>
          <w:b w:val="0"/>
          <w:bCs/>
          <w:sz w:val="32"/>
          <w:szCs w:val="32"/>
        </w:rPr>
        <w:t>自</w:t>
      </w:r>
      <w:r w:rsidRPr="00001490">
        <w:rPr>
          <w:rFonts w:ascii="楷体" w:eastAsia="楷体" w:hAnsi="楷体" w:cs="楷体_GB2312" w:hint="eastAsia"/>
          <w:b w:val="0"/>
          <w:bCs/>
          <w:sz w:val="32"/>
          <w:szCs w:val="32"/>
        </w:rPr>
        <w:t>2022年7月1日起施行</w:t>
      </w:r>
      <w:r w:rsidR="00001490">
        <w:rPr>
          <w:rFonts w:ascii="楷体" w:eastAsia="楷体" w:hAnsi="楷体" w:cs="楷体_GB2312" w:hint="eastAsia"/>
          <w:b w:val="0"/>
          <w:bCs/>
          <w:sz w:val="32"/>
          <w:szCs w:val="32"/>
        </w:rPr>
        <w:t>）</w:t>
      </w:r>
    </w:p>
    <w:p w:rsidR="00326E18" w:rsidRPr="00326E18" w:rsidRDefault="00326E18" w:rsidP="00326E18">
      <w:pPr>
        <w:adjustRightInd w:val="0"/>
        <w:snapToGrid w:val="0"/>
        <w:jc w:val="center"/>
        <w:rPr>
          <w:rFonts w:ascii="黑体" w:eastAsia="黑体" w:hAnsi="黑体" w:hint="eastAsia"/>
          <w:bCs/>
          <w:sz w:val="32"/>
          <w:szCs w:val="32"/>
        </w:rPr>
      </w:pPr>
      <w:r w:rsidRPr="00326E18">
        <w:rPr>
          <w:rFonts w:ascii="黑体" w:eastAsia="黑体" w:hAnsi="黑体" w:hint="eastAsia"/>
          <w:bCs/>
          <w:sz w:val="32"/>
          <w:szCs w:val="32"/>
        </w:rPr>
        <w:t>第一章  总  则</w:t>
      </w:r>
    </w:p>
    <w:p w:rsidR="00326E18" w:rsidRPr="00326E18" w:rsidRDefault="00326E18" w:rsidP="00326E18">
      <w:pPr>
        <w:adjustRightInd w:val="0"/>
        <w:snapToGrid w:val="0"/>
        <w:spacing w:line="355" w:lineRule="auto"/>
        <w:rPr>
          <w:rFonts w:ascii="仿宋_GB2312" w:eastAsia="仿宋_GB2312" w:hAnsi="仿宋_GB2312" w:cs="仿宋_GB2312"/>
          <w:sz w:val="32"/>
          <w:szCs w:val="32"/>
        </w:rPr>
      </w:pP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326E18">
        <w:rPr>
          <w:rFonts w:ascii="仿宋_GB2312" w:eastAsia="仿宋_GB2312" w:hAnsi="仿宋_GB2312" w:cs="仿宋_GB2312" w:hint="eastAsia"/>
          <w:sz w:val="32"/>
          <w:szCs w:val="32"/>
        </w:rPr>
        <w:t xml:space="preserve">　　</w:t>
      </w:r>
      <w:r w:rsidRPr="007C2776">
        <w:rPr>
          <w:rFonts w:ascii="黑体" w:eastAsia="黑体" w:hAnsi="黑体" w:cs="仿宋_GB2312" w:hint="eastAsia"/>
          <w:sz w:val="32"/>
          <w:szCs w:val="32"/>
        </w:rPr>
        <w:t xml:space="preserve">第一条  </w:t>
      </w:r>
      <w:r w:rsidRPr="007C2776">
        <w:rPr>
          <w:rFonts w:ascii="仿宋" w:eastAsia="仿宋" w:hAnsi="仿宋" w:cs="仿宋_GB2312" w:hint="eastAsia"/>
          <w:sz w:val="32"/>
          <w:szCs w:val="32"/>
        </w:rPr>
        <w:t>为了防治尾矿污染环境，保护和改善生态环境，根据《中华人民共和国环境保护法》《中华人民共和国固体废物污染环境防治法》《中华人民共和国土壤污染防治法》等有关法律法规，制定本办法。</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第二条</w:t>
      </w:r>
      <w:r w:rsidRPr="007C2776">
        <w:rPr>
          <w:rFonts w:ascii="仿宋" w:eastAsia="仿宋" w:hAnsi="仿宋" w:cs="仿宋_GB2312" w:hint="eastAsia"/>
          <w:sz w:val="32"/>
          <w:szCs w:val="32"/>
        </w:rPr>
        <w:t xml:space="preserve">  本办法适用于中华人民共和国境内尾矿的污染环境防治（以下简称污染防治）及其监督管理。</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伴生放射性矿开发利用活动中产生的铀（钍）系单个核素活度浓度超过1Bq/g 的尾矿，以及铀（钍）矿尾矿的污染防治及其监督管理，适用放射性污染防治有关法律法规的规定，不适用本办法。</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第三条 </w:t>
      </w:r>
      <w:r w:rsidRPr="007C2776">
        <w:rPr>
          <w:rFonts w:ascii="仿宋" w:eastAsia="仿宋" w:hAnsi="仿宋" w:cs="仿宋_GB2312" w:hint="eastAsia"/>
          <w:sz w:val="32"/>
          <w:szCs w:val="32"/>
        </w:rPr>
        <w:t xml:space="preserve"> 尾矿污染防治坚持预防为主、污染担责的原则。</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产生、贮存、运输、综合利用尾矿的单位，以及尾矿库运营、管理单位，应当采取措施，防止或者减少尾矿对环境的污染，对所造成的环境污染依法承担责任。</w:t>
      </w:r>
    </w:p>
    <w:p w:rsidR="00326E18" w:rsidRPr="007C2776" w:rsidRDefault="00326E18" w:rsidP="00326E18">
      <w:pPr>
        <w:adjustRightInd w:val="0"/>
        <w:snapToGrid w:val="0"/>
        <w:spacing w:line="355" w:lineRule="auto"/>
        <w:rPr>
          <w:rFonts w:ascii="仿宋" w:eastAsia="仿宋" w:hAnsi="仿宋" w:cs="仿宋_GB2312"/>
          <w:sz w:val="32"/>
          <w:szCs w:val="32"/>
        </w:rPr>
      </w:pP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对产生尾矿的单位和尾矿库运营、管理单位实施控股管理的企业集团，应当加强对其下属企业的监督管理，督促、指导其履行尾矿污染防治主体责任。</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第四条</w:t>
      </w:r>
      <w:r w:rsidRPr="007C2776">
        <w:rPr>
          <w:rFonts w:ascii="仿宋" w:eastAsia="仿宋" w:hAnsi="仿宋" w:cs="仿宋_GB2312" w:hint="eastAsia"/>
          <w:sz w:val="32"/>
          <w:szCs w:val="32"/>
        </w:rPr>
        <w:t xml:space="preserve">  国务院生态环境主管部门对全国尾矿污染防治工作实施监督管理。</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地方各级生态环境主管部门负责本行政区域尾矿污染防治工作的监督管理。</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国务院生态环境主管部门所属的流域生态环境监督管理机构依据法律法规规定的职责或者国务院生态环境主管部门的委托，对管辖范围内的尾矿污染防治工作进行指导、协调和监督。</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第五条 </w:t>
      </w:r>
      <w:r w:rsidRPr="007C2776">
        <w:rPr>
          <w:rFonts w:ascii="仿宋" w:eastAsia="仿宋" w:hAnsi="仿宋" w:cs="仿宋_GB2312" w:hint="eastAsia"/>
          <w:sz w:val="32"/>
          <w:szCs w:val="32"/>
        </w:rPr>
        <w:t xml:space="preserve"> 尾矿库污染防治实行分类分级环境监督管理。</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国务院生态环境主管部门负责制定尾矿库分类分级环境监督管理技术规程，根据尾矿所属矿种类型、尾矿库周边环境敏感程度、尾矿库环境保护水平等因素，将尾矿库分为一级、二级和三级环境监督管理尾矿库，并明确不同等级的尾矿库环境监督管理要求。</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省级生态环境主管部门负责确定本行政区域尾矿库分类分级环境监督管理清单，并加强监督管理。</w:t>
      </w:r>
    </w:p>
    <w:p w:rsidR="00D738F0" w:rsidRPr="00D738F0" w:rsidRDefault="00326E18" w:rsidP="00D738F0">
      <w:pPr>
        <w:adjustRightInd w:val="0"/>
        <w:snapToGrid w:val="0"/>
        <w:spacing w:line="355" w:lineRule="auto"/>
        <w:ind w:firstLine="660"/>
        <w:rPr>
          <w:rFonts w:ascii="仿宋" w:eastAsia="仿宋" w:hAnsi="仿宋" w:cs="仿宋_GB2312" w:hint="eastAsia"/>
          <w:sz w:val="32"/>
          <w:szCs w:val="32"/>
        </w:rPr>
      </w:pPr>
      <w:r w:rsidRPr="007C2776">
        <w:rPr>
          <w:rFonts w:ascii="仿宋" w:eastAsia="仿宋" w:hAnsi="仿宋" w:cs="仿宋_GB2312" w:hint="eastAsia"/>
          <w:sz w:val="32"/>
          <w:szCs w:val="32"/>
        </w:rPr>
        <w:t>设区的市级生态环境主管部门根据省级生态环境主管部门确定的尾矿库分类分级环境监督管理清单，对尾矿库进行分类分级管理。</w:t>
      </w:r>
    </w:p>
    <w:p w:rsidR="00326E18" w:rsidRPr="00A11A15" w:rsidRDefault="00326E18" w:rsidP="006E0372">
      <w:pPr>
        <w:adjustRightInd w:val="0"/>
        <w:snapToGrid w:val="0"/>
        <w:jc w:val="center"/>
        <w:rPr>
          <w:rFonts w:ascii="黑体" w:eastAsia="黑体" w:hAnsi="黑体" w:hint="eastAsia"/>
          <w:bCs/>
          <w:sz w:val="32"/>
          <w:szCs w:val="32"/>
        </w:rPr>
      </w:pPr>
      <w:r w:rsidRPr="00A11A15">
        <w:rPr>
          <w:rFonts w:ascii="黑体" w:eastAsia="黑体" w:hAnsi="黑体" w:hint="eastAsia"/>
          <w:bCs/>
          <w:sz w:val="32"/>
          <w:szCs w:val="32"/>
        </w:rPr>
        <w:t>第二章  污染防治</w:t>
      </w:r>
    </w:p>
    <w:p w:rsidR="00326E18" w:rsidRPr="007C2776" w:rsidRDefault="00326E18" w:rsidP="00326E18">
      <w:pPr>
        <w:adjustRightInd w:val="0"/>
        <w:snapToGrid w:val="0"/>
        <w:spacing w:line="355" w:lineRule="auto"/>
        <w:rPr>
          <w:rFonts w:ascii="仿宋" w:eastAsia="仿宋" w:hAnsi="仿宋" w:cs="仿宋_GB2312"/>
          <w:sz w:val="32"/>
          <w:szCs w:val="32"/>
        </w:rPr>
      </w:pP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第六条  </w:t>
      </w:r>
      <w:r w:rsidRPr="007C2776">
        <w:rPr>
          <w:rFonts w:ascii="仿宋" w:eastAsia="仿宋" w:hAnsi="仿宋" w:cs="仿宋_GB2312" w:hint="eastAsia"/>
          <w:sz w:val="32"/>
          <w:szCs w:val="32"/>
        </w:rPr>
        <w:t>产生尾矿的单位应当建立健全尾矿产生、贮存、运输、综合利用等全过程的污染防治责任制度，确定承担污染防治工作的部门和专职技术人员，明确单位负责人和相关人员的责任。</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第七条 </w:t>
      </w:r>
      <w:r w:rsidRPr="007C2776">
        <w:rPr>
          <w:rFonts w:ascii="仿宋" w:eastAsia="仿宋" w:hAnsi="仿宋" w:cs="仿宋_GB2312" w:hint="eastAsia"/>
          <w:sz w:val="32"/>
          <w:szCs w:val="32"/>
        </w:rPr>
        <w:t xml:space="preserve"> 产生尾矿的单位和尾矿库运营、管理单位应当建立尾矿环境管理台账。</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产生尾矿的单位应当在尾矿环境管理台账中如实记录生产运营中产生尾矿的种类、数量、流向、贮存、综合利用等信息；尾矿库运营、管理单位应当在尾矿环境管理台账中如实记录尾矿库的污染防治设施建设和运行情况、环境监测情况、污染隐患排查治理情况、突发环境事件应急预案及其落实情况等信息。</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尾矿环境管理台账保存期限不得少于五年，其中尾矿库运营、管理单位的环境管理台账信息应当永久保存。</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产生尾矿的单位和尾矿库运营、管理单位应当于每年1月31日之前通过全国固体废物污染环境防治信息平台填报上一年度产生的相关信息。</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第八条</w:t>
      </w:r>
      <w:r w:rsidRPr="007C2776">
        <w:rPr>
          <w:rFonts w:ascii="仿宋" w:eastAsia="仿宋" w:hAnsi="仿宋" w:cs="仿宋_GB2312" w:hint="eastAsia"/>
          <w:sz w:val="32"/>
          <w:szCs w:val="32"/>
        </w:rPr>
        <w:t xml:space="preserve">  产生尾矿的单位委托他人贮存、运输、综合利用尾矿，或者尾矿库运营、管理单位委托他人运输、综合利用尾矿的，应当对受托方的主体资格和技术能力进行核实，依法签订书面合同，在合同中约定污染防治要求。</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第九条</w:t>
      </w:r>
      <w:r w:rsidRPr="007C2776">
        <w:rPr>
          <w:rFonts w:ascii="仿宋" w:eastAsia="仿宋" w:hAnsi="仿宋" w:cs="仿宋_GB2312" w:hint="eastAsia"/>
          <w:sz w:val="32"/>
          <w:szCs w:val="32"/>
        </w:rPr>
        <w:t xml:space="preserve">  新建、改建、扩建尾矿库的，应当依法进行环境影响评价，并遵守国家有关建设项目环境保护管理的规定，落实尾矿污染防治的措施。</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尾矿库选址，应当符合生态环境保护有关法律法规和强制性标准要求。禁止在生态保护红线区域、永久基本农田集中区域、河道湖泊行洪区和其他需要特别保护的区域内建设尾矿库以及其他贮存尾矿的场所。</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第十条</w:t>
      </w:r>
      <w:r w:rsidRPr="007C2776">
        <w:rPr>
          <w:rFonts w:ascii="仿宋" w:eastAsia="仿宋" w:hAnsi="仿宋" w:cs="仿宋_GB2312" w:hint="eastAsia"/>
          <w:sz w:val="32"/>
          <w:szCs w:val="32"/>
        </w:rPr>
        <w:t xml:space="preserve">  新建、改建、扩建尾矿库的，应当根据国家有关规定和尾矿库实际情况，配套建设防渗、渗滤液收集、废水处理、环境监测、环境应急等污染防治设施。</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第十一条</w:t>
      </w:r>
      <w:r w:rsidRPr="007C2776">
        <w:rPr>
          <w:rFonts w:ascii="仿宋" w:eastAsia="仿宋" w:hAnsi="仿宋" w:cs="仿宋_GB2312" w:hint="eastAsia"/>
          <w:sz w:val="32"/>
          <w:szCs w:val="32"/>
        </w:rPr>
        <w:t xml:space="preserve">  尾矿库防渗设施的设计和建设，应当充分考虑地质、水文等条件，并符合相应尾矿属性类别管理要求。</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尾矿库配套的渗滤液收集池、回水池、环境应急事故池等设施的防渗要求应当不低于该尾矿库的防渗要求，并设置防漫流设施。</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第十二条  </w:t>
      </w:r>
      <w:r w:rsidRPr="007C2776">
        <w:rPr>
          <w:rFonts w:ascii="仿宋" w:eastAsia="仿宋" w:hAnsi="仿宋" w:cs="仿宋_GB2312" w:hint="eastAsia"/>
          <w:sz w:val="32"/>
          <w:szCs w:val="32"/>
        </w:rPr>
        <w:t>新建尾矿库的排尾管道、回水管道应当避免穿越农田、河流、湖泊；确需穿越的，应当建设管沟、套管等设施，防止渗漏造成环境污染。</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第十三条  </w:t>
      </w:r>
      <w:r w:rsidRPr="007C2776">
        <w:rPr>
          <w:rFonts w:ascii="仿宋" w:eastAsia="仿宋" w:hAnsi="仿宋" w:cs="仿宋_GB2312" w:hint="eastAsia"/>
          <w:sz w:val="32"/>
          <w:szCs w:val="32"/>
        </w:rPr>
        <w:t>采用传送带方式输送尾矿的，应当采取封闭等措施，防止尾矿流失和扬散。</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通过车辆运输尾矿的，应当采取遮盖等措施，防止尾矿遗撒和扬散。</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第十四条 </w:t>
      </w:r>
      <w:r w:rsidRPr="007C2776">
        <w:rPr>
          <w:rFonts w:ascii="仿宋" w:eastAsia="仿宋" w:hAnsi="仿宋" w:cs="仿宋_GB2312" w:hint="eastAsia"/>
          <w:sz w:val="32"/>
          <w:szCs w:val="32"/>
        </w:rPr>
        <w:t xml:space="preserve"> 依法实行排污许可管理的产生尾矿的单位，应当申请取得排污许可证或者填报排污登记表，按照排污许可管理的规定排放尾矿及污染物，并落实相关环境管理要求。</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第十五条 </w:t>
      </w:r>
      <w:r w:rsidRPr="007C2776">
        <w:rPr>
          <w:rFonts w:ascii="仿宋" w:eastAsia="仿宋" w:hAnsi="仿宋" w:cs="仿宋_GB2312" w:hint="eastAsia"/>
          <w:sz w:val="32"/>
          <w:szCs w:val="32"/>
        </w:rPr>
        <w:t xml:space="preserve"> 尾矿库运营、管理单位应当采取防扬散、防流失、防渗漏或者其他防止污染环境的措施，加强对尾矿库污染防治设施的管理和维护，保证其正常运行和使用，防止尾矿污染环境。</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第十六条 </w:t>
      </w:r>
      <w:r w:rsidRPr="007C2776">
        <w:rPr>
          <w:rFonts w:ascii="仿宋" w:eastAsia="仿宋" w:hAnsi="仿宋" w:cs="仿宋_GB2312" w:hint="eastAsia"/>
          <w:sz w:val="32"/>
          <w:szCs w:val="32"/>
        </w:rPr>
        <w:t xml:space="preserve"> 尾矿库运营、管理单位应当采取库面抑尘、边坡绿化等措施防止扬尘污染，美化环境。</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第十七条  </w:t>
      </w:r>
      <w:r w:rsidRPr="007C2776">
        <w:rPr>
          <w:rFonts w:ascii="仿宋" w:eastAsia="仿宋" w:hAnsi="仿宋" w:cs="仿宋_GB2312" w:hint="eastAsia"/>
          <w:sz w:val="32"/>
          <w:szCs w:val="32"/>
        </w:rPr>
        <w:t>尾矿水应当优先返回选矿工艺使用；向环境排放的，应当符合国家和地方污染物排放标准，不得与尾矿库外的雨水混合排放，并按照有关规定设置污染物排放口，设立标志，依法安装流量计和视频监控。</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污染物排放口的流量计监测记录保存期限不得少于五年，视频监控记录保存期限不得少于三个月。</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第十八条</w:t>
      </w:r>
      <w:r w:rsidRPr="007C2776">
        <w:rPr>
          <w:rFonts w:ascii="仿宋" w:eastAsia="仿宋" w:hAnsi="仿宋" w:cs="仿宋_GB2312" w:hint="eastAsia"/>
          <w:sz w:val="32"/>
          <w:szCs w:val="32"/>
        </w:rPr>
        <w:t xml:space="preserve">  尾矿库运营、管理单位应当按照国家有关标准和规范，建设地下水水质监测井。</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尾矿库上游、下游和可能出现污染扩散的尾矿库周边区域，应当设置地下水水质监测井。</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　第十九条 </w:t>
      </w:r>
      <w:r w:rsidRPr="007C2776">
        <w:rPr>
          <w:rFonts w:ascii="仿宋" w:eastAsia="仿宋" w:hAnsi="仿宋" w:cs="仿宋_GB2312" w:hint="eastAsia"/>
          <w:sz w:val="32"/>
          <w:szCs w:val="32"/>
        </w:rPr>
        <w:t xml:space="preserve"> 尾矿库运营、管理单位应当按照国家有关规定开展地下水环境监测以及土壤污染状况监测和评估。</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排放尾矿水的，尾矿库运营、管理单位应当在排放期间，每月至少开展一次水污染物排放监测；排放有毒有害水污染物的，还应当每季度对受纳水体等周边环境至少开展一次监测。</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尾矿库运营、管理单位应当依法公开污染物排放监测结果等相关信息。</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第二十条 </w:t>
      </w:r>
      <w:r w:rsidRPr="007C2776">
        <w:rPr>
          <w:rFonts w:ascii="仿宋" w:eastAsia="仿宋" w:hAnsi="仿宋" w:cs="仿宋_GB2312" w:hint="eastAsia"/>
          <w:sz w:val="32"/>
          <w:szCs w:val="32"/>
        </w:rPr>
        <w:t xml:space="preserve"> 尾矿库运营、管理单位应当建立健全尾矿库污染隐患排查治理制度，组织开展尾矿库污染隐患排查治理；发现污染隐患的，应当制定整改方案，及时采取措施消除隐患。</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尾矿库运营、管理单位应当于每年汛期前至少开展一次全面的污染隐患排查。</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第二十一条  </w:t>
      </w:r>
      <w:r w:rsidRPr="007C2776">
        <w:rPr>
          <w:rFonts w:ascii="仿宋" w:eastAsia="仿宋" w:hAnsi="仿宋" w:cs="仿宋_GB2312" w:hint="eastAsia"/>
          <w:sz w:val="32"/>
          <w:szCs w:val="32"/>
        </w:rPr>
        <w:t>尾矿库运营、管理单位在环境监测等活动中发现尾矿库周边土壤和地下水存在污染物渗漏或者含量升高等污染迹象的，应当及时查明原因，采取措施及时阻止污染物泄漏，并按照国家有关规定开展环境调查与风险评估，根据调查与风险评估结果采取风险管控或者治理修复等措施。</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生态环境主管部门在监督检查中发现尾矿库周边土壤和地下水存在污染物渗漏或者含量升高等污染迹象的，应当及时督促尾矿库运营、管理单位采取相应措施。</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第二十二条 </w:t>
      </w:r>
      <w:r w:rsidRPr="007C2776">
        <w:rPr>
          <w:rFonts w:ascii="仿宋" w:eastAsia="仿宋" w:hAnsi="仿宋" w:cs="仿宋_GB2312" w:hint="eastAsia"/>
          <w:sz w:val="32"/>
          <w:szCs w:val="32"/>
        </w:rPr>
        <w:t xml:space="preserve"> 尾矿库运营、管理单位应当按照国务院生态环境主管部门有关规定，开展尾矿库突发环境事件风险评估，编制、修订、备案尾矿库突发环境事件应急预案，建设并完善环境风险防控与应急设施，储备环境应急物资，定期组织开展尾矿库突发环境事件应急演练。</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第二十三条 </w:t>
      </w:r>
      <w:r w:rsidRPr="007C2776">
        <w:rPr>
          <w:rFonts w:ascii="仿宋" w:eastAsia="仿宋" w:hAnsi="仿宋" w:cs="仿宋_GB2312" w:hint="eastAsia"/>
          <w:sz w:val="32"/>
          <w:szCs w:val="32"/>
        </w:rPr>
        <w:t xml:space="preserve"> 发生突发环境事件时，尾矿库运营、管理单位应当立即启动尾矿库突发环境事件应急预案，采取应急措施，消除或者减轻事故影响，及时通报可能受到危害的单位和居民，并向本行政区域县级生态环境主管部门报告。</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县级以上生态环境主管部门在发现或者得知尾矿库突发环境事件信息后，应当按照有关规定做好应急处置、环境影响和损失调查、评估等工作。</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第二十四条 </w:t>
      </w:r>
      <w:r w:rsidRPr="007C2776">
        <w:rPr>
          <w:rFonts w:ascii="仿宋" w:eastAsia="仿宋" w:hAnsi="仿宋" w:cs="仿宋_GB2312" w:hint="eastAsia"/>
          <w:sz w:val="32"/>
          <w:szCs w:val="32"/>
        </w:rPr>
        <w:t xml:space="preserve"> 尾矿库运营、管理单位应当在尾矿库封场期间及封场后，采取措施保证渗滤液收集设施、尾矿水排放监测设施继续正常运行，并定期开展水污染物排放监测，确保污染物排放符合国家和地方排放标准。</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尾矿库的渗滤液收集设施、尾矿水排放监测设施应当正常运行至尾矿库封场后连续两年内没有渗滤液产生或者产生的渗滤液不经处理即可稳定达标排放。</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尾矿库运营、管理单位应当在尾矿库封场后，采取措施保证地下水水质监测井继续正常运行，并按照国家有关规定持续进行地下水水质监测，直到下游地下水水质连续两年不超出上游地下水水质或者所在区域地下水水质本底水平。</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第二十五条  </w:t>
      </w:r>
      <w:r w:rsidRPr="007C2776">
        <w:rPr>
          <w:rFonts w:ascii="仿宋" w:eastAsia="仿宋" w:hAnsi="仿宋" w:cs="仿宋_GB2312" w:hint="eastAsia"/>
          <w:sz w:val="32"/>
          <w:szCs w:val="32"/>
        </w:rPr>
        <w:t>开展尾矿充填、回填以及利用尾矿提取有价组分和生产建筑材料等尾矿综合利用单位，应当按照国家有关规定采取相应措施，防止造成二次环境污染。</w:t>
      </w:r>
    </w:p>
    <w:p w:rsidR="00326E18" w:rsidRPr="007C2776" w:rsidRDefault="00326E18" w:rsidP="00326E18">
      <w:pPr>
        <w:adjustRightInd w:val="0"/>
        <w:snapToGrid w:val="0"/>
        <w:spacing w:line="355" w:lineRule="auto"/>
        <w:rPr>
          <w:rFonts w:ascii="仿宋" w:eastAsia="仿宋" w:hAnsi="仿宋" w:cs="仿宋_GB2312"/>
          <w:sz w:val="32"/>
          <w:szCs w:val="32"/>
        </w:rPr>
      </w:pPr>
    </w:p>
    <w:p w:rsidR="00326E18" w:rsidRPr="00A11A15" w:rsidRDefault="00326E18" w:rsidP="006E0372">
      <w:pPr>
        <w:adjustRightInd w:val="0"/>
        <w:snapToGrid w:val="0"/>
        <w:jc w:val="center"/>
        <w:rPr>
          <w:rFonts w:ascii="黑体" w:eastAsia="黑体" w:hAnsi="黑体" w:hint="eastAsia"/>
          <w:bCs/>
          <w:sz w:val="32"/>
          <w:szCs w:val="32"/>
        </w:rPr>
      </w:pPr>
      <w:r w:rsidRPr="00A11A15">
        <w:rPr>
          <w:rFonts w:ascii="黑体" w:eastAsia="黑体" w:hAnsi="黑体" w:hint="eastAsia"/>
          <w:bCs/>
          <w:sz w:val="32"/>
          <w:szCs w:val="32"/>
        </w:rPr>
        <w:t>第三章  监督管理</w:t>
      </w:r>
    </w:p>
    <w:p w:rsidR="00326E18" w:rsidRPr="00D738F0" w:rsidRDefault="00326E18" w:rsidP="00326E18">
      <w:pPr>
        <w:adjustRightInd w:val="0"/>
        <w:snapToGrid w:val="0"/>
        <w:spacing w:line="355" w:lineRule="auto"/>
        <w:rPr>
          <w:rFonts w:ascii="仿宋" w:eastAsia="仿宋" w:hAnsi="仿宋" w:cs="仿宋_GB2312"/>
          <w:sz w:val="32"/>
          <w:szCs w:val="32"/>
        </w:rPr>
      </w:pP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第二十六条</w:t>
      </w:r>
      <w:r w:rsidRPr="007C2776">
        <w:rPr>
          <w:rFonts w:ascii="仿宋" w:eastAsia="仿宋" w:hAnsi="仿宋" w:cs="仿宋_GB2312" w:hint="eastAsia"/>
          <w:sz w:val="32"/>
          <w:szCs w:val="32"/>
        </w:rPr>
        <w:t xml:space="preserve">  国务院生态环境主管部门应当加强尾矿污染防治工作信息化建设，强化环境管理信息系统对接与数据共享。</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第二十七条</w:t>
      </w:r>
      <w:r w:rsidRPr="007C2776">
        <w:rPr>
          <w:rFonts w:ascii="仿宋" w:eastAsia="仿宋" w:hAnsi="仿宋" w:cs="仿宋_GB2312" w:hint="eastAsia"/>
          <w:sz w:val="32"/>
          <w:szCs w:val="32"/>
        </w:rPr>
        <w:t xml:space="preserve">  省级生态环境主管部门应当加强对新建、改建、扩建尾矿库建设项目环境影响评价审批程序、审批结果的监督与评估；发现设区的市、县级生态环境主管部门不具备尾矿库建设项目环境影响评价审批能力，或者在审批过程中存在突出问题的，应当依法调整上收环境影响评价审批权限。</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第二十八条  </w:t>
      </w:r>
      <w:r w:rsidRPr="007C2776">
        <w:rPr>
          <w:rFonts w:ascii="仿宋" w:eastAsia="仿宋" w:hAnsi="仿宋" w:cs="仿宋_GB2312" w:hint="eastAsia"/>
          <w:sz w:val="32"/>
          <w:szCs w:val="32"/>
        </w:rPr>
        <w:t>设区的市级生态环境主管部门应当将一级和二级环境监督管理尾矿库的运营、管理单位列入重点排污单位名录，实施重点管控。</w:t>
      </w:r>
    </w:p>
    <w:p w:rsidR="00D738F0" w:rsidRPr="00D738F0"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第二十九条  </w:t>
      </w:r>
      <w:r w:rsidRPr="007C2776">
        <w:rPr>
          <w:rFonts w:ascii="仿宋" w:eastAsia="仿宋" w:hAnsi="仿宋" w:cs="仿宋_GB2312" w:hint="eastAsia"/>
          <w:sz w:val="32"/>
          <w:szCs w:val="32"/>
        </w:rPr>
        <w:t>鼓励地方各级生态环境主管部门综合利用远程视频监控、无人机、遥感、地理信息系统等手段进行尾矿污染防治监督管理。</w:t>
      </w:r>
    </w:p>
    <w:p w:rsidR="00326E18" w:rsidRPr="00A11A15" w:rsidRDefault="00326E18" w:rsidP="006E0372">
      <w:pPr>
        <w:adjustRightInd w:val="0"/>
        <w:snapToGrid w:val="0"/>
        <w:jc w:val="center"/>
        <w:rPr>
          <w:rFonts w:ascii="黑体" w:eastAsia="黑体" w:hAnsi="黑体" w:hint="eastAsia"/>
          <w:bCs/>
          <w:sz w:val="32"/>
          <w:szCs w:val="32"/>
        </w:rPr>
      </w:pPr>
      <w:r w:rsidRPr="00A11A15">
        <w:rPr>
          <w:rFonts w:ascii="黑体" w:eastAsia="黑体" w:hAnsi="黑体" w:hint="eastAsia"/>
          <w:bCs/>
          <w:sz w:val="32"/>
          <w:szCs w:val="32"/>
        </w:rPr>
        <w:t>第四章  罚  则</w:t>
      </w:r>
    </w:p>
    <w:p w:rsidR="00326E18" w:rsidRPr="007C2776" w:rsidRDefault="00326E18" w:rsidP="00326E18">
      <w:pPr>
        <w:adjustRightInd w:val="0"/>
        <w:snapToGrid w:val="0"/>
        <w:spacing w:line="355" w:lineRule="auto"/>
        <w:rPr>
          <w:rFonts w:ascii="仿宋" w:eastAsia="仿宋" w:hAnsi="仿宋" w:cs="仿宋_GB2312"/>
          <w:sz w:val="32"/>
          <w:szCs w:val="32"/>
        </w:rPr>
      </w:pP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第三十条 </w:t>
      </w:r>
      <w:r w:rsidRPr="007C2776">
        <w:rPr>
          <w:rFonts w:ascii="仿宋" w:eastAsia="仿宋" w:hAnsi="仿宋" w:cs="仿宋_GB2312" w:hint="eastAsia"/>
          <w:sz w:val="32"/>
          <w:szCs w:val="32"/>
        </w:rPr>
        <w:t xml:space="preserve"> 产生尾矿的单位或者尾矿库运营、管理单位违反本办法规定，有下列行为之一的，依照《中华人民共和国固体废物污染环境防治法》《中华人民共和国水污染防治法》《中华人民共和国土壤污染防治法》等法律法规的规定予以处罚：</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（一）未建立尾矿环境管理台账并如实记录的；</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（二）超过水污染物排放标准排放水污染物的；</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（三）未依法报批建设项目环境影响评价文件，擅自开工建设的；</w:t>
      </w:r>
    </w:p>
    <w:p w:rsidR="00326E18" w:rsidRPr="00A11A15"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（四）未按规定开展土壤和地下水环境监测的；</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（五）未依法开展尾矿库突发环境事件应急处置的；</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（六）擅自倾倒、堆放、丢弃、遗撒尾矿，或者未采取相应防范措施，造成尾矿扬散、流失、渗漏或者其他环境污染的；</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（七）其他违反法律法规规定的行为。</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第三十一条 </w:t>
      </w:r>
      <w:r w:rsidRPr="007C2776">
        <w:rPr>
          <w:rFonts w:ascii="仿宋" w:eastAsia="仿宋" w:hAnsi="仿宋" w:cs="仿宋_GB2312" w:hint="eastAsia"/>
          <w:sz w:val="32"/>
          <w:szCs w:val="32"/>
        </w:rPr>
        <w:t xml:space="preserve"> 产生尾矿的单位或者尾矿库运营、管理单位违反本办法规定，未按时通过全国固体废物污染环境防治信息平台填报上一年度产生的相关信息的，由设区的市级以上地方生态环境主管部门责令改正，给予警告；拒不改正的，处三万元以下的罚款。</w:t>
      </w:r>
    </w:p>
    <w:p w:rsidR="00326E18" w:rsidRPr="007C2776"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第三十二条 </w:t>
      </w:r>
      <w:r w:rsidRPr="007C2776">
        <w:rPr>
          <w:rFonts w:ascii="仿宋" w:eastAsia="仿宋" w:hAnsi="仿宋" w:cs="仿宋_GB2312" w:hint="eastAsia"/>
          <w:sz w:val="32"/>
          <w:szCs w:val="32"/>
        </w:rPr>
        <w:t xml:space="preserve"> 违反本办法规定，向环境排放尾矿水，未按照国家有关规定设置污染物排放口标志的，由设区的市级以上地方生态环境主管部门责令改正，给予警告；拒不改正的，处五万元以下的罚款。</w:t>
      </w:r>
    </w:p>
    <w:p w:rsidR="00326E18" w:rsidRPr="00D738F0" w:rsidRDefault="00326E18" w:rsidP="00326E18">
      <w:pPr>
        <w:adjustRightInd w:val="0"/>
        <w:snapToGrid w:val="0"/>
        <w:spacing w:line="355" w:lineRule="auto"/>
        <w:rPr>
          <w:rFonts w:ascii="仿宋" w:eastAsia="仿宋" w:hAnsi="仿宋" w:cs="仿宋_GB2312"/>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第三十三条  </w:t>
      </w:r>
      <w:r w:rsidRPr="007C2776">
        <w:rPr>
          <w:rFonts w:ascii="仿宋" w:eastAsia="仿宋" w:hAnsi="仿宋" w:cs="仿宋_GB2312" w:hint="eastAsia"/>
          <w:sz w:val="32"/>
          <w:szCs w:val="32"/>
        </w:rPr>
        <w:t>尾矿库运营、管理单位违反本办法规定，未按要求组织开展污染隐患排查治理的，由设区的市级以上生态环境主管部门责令改正，给予警告；拒不改正的，处十万元以下的罚款。</w:t>
      </w:r>
    </w:p>
    <w:p w:rsidR="00326E18" w:rsidRPr="00A11A15" w:rsidRDefault="00326E18" w:rsidP="006E0372">
      <w:pPr>
        <w:adjustRightInd w:val="0"/>
        <w:snapToGrid w:val="0"/>
        <w:jc w:val="center"/>
        <w:rPr>
          <w:rFonts w:ascii="黑体" w:eastAsia="黑体" w:hAnsi="黑体" w:hint="eastAsia"/>
          <w:bCs/>
          <w:sz w:val="32"/>
          <w:szCs w:val="32"/>
        </w:rPr>
      </w:pPr>
      <w:r w:rsidRPr="00A11A15">
        <w:rPr>
          <w:rFonts w:ascii="黑体" w:eastAsia="黑体" w:hAnsi="黑体" w:hint="eastAsia"/>
          <w:bCs/>
          <w:sz w:val="32"/>
          <w:szCs w:val="32"/>
        </w:rPr>
        <w:t>第五章  附  则</w:t>
      </w:r>
    </w:p>
    <w:p w:rsidR="00326E18" w:rsidRPr="007C2776" w:rsidRDefault="00326E18" w:rsidP="00326E18">
      <w:pPr>
        <w:adjustRightInd w:val="0"/>
        <w:snapToGrid w:val="0"/>
        <w:spacing w:line="355" w:lineRule="auto"/>
        <w:rPr>
          <w:rFonts w:ascii="仿宋" w:eastAsia="仿宋" w:hAnsi="仿宋" w:cs="仿宋_GB2312"/>
          <w:sz w:val="32"/>
          <w:szCs w:val="32"/>
        </w:rPr>
      </w:pP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第三十四条  </w:t>
      </w:r>
      <w:r w:rsidRPr="007C2776">
        <w:rPr>
          <w:rFonts w:ascii="仿宋" w:eastAsia="仿宋" w:hAnsi="仿宋" w:cs="仿宋_GB2312" w:hint="eastAsia"/>
          <w:sz w:val="32"/>
          <w:szCs w:val="32"/>
        </w:rPr>
        <w:t>本办法中下列用语的含义：</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（一）尾矿，是指金属非金属矿山开采出的矿石，经选矿厂选出有价值的精矿后产生的固体废物。</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（二）尾矿库，是指用以贮存尾矿的场所。</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（三）封场，是指尾矿库停止使用后，对尾矿库采取关闭的措施，也称闭库。</w:t>
      </w:r>
    </w:p>
    <w:p w:rsidR="00326E18"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（四）尾矿库运营、管理单位，包括尾矿库所属企业和地方人民政府指定的尾矿库管理维护单位。</w:t>
      </w:r>
    </w:p>
    <w:p w:rsidR="00B03B15" w:rsidRPr="007C2776" w:rsidRDefault="00326E18" w:rsidP="00326E18">
      <w:pPr>
        <w:adjustRightInd w:val="0"/>
        <w:snapToGrid w:val="0"/>
        <w:spacing w:line="355" w:lineRule="auto"/>
        <w:rPr>
          <w:rFonts w:ascii="仿宋" w:eastAsia="仿宋" w:hAnsi="仿宋" w:cs="仿宋_GB2312" w:hint="eastAsia"/>
          <w:sz w:val="32"/>
          <w:szCs w:val="32"/>
        </w:rPr>
      </w:pPr>
      <w:r w:rsidRPr="007C2776">
        <w:rPr>
          <w:rFonts w:ascii="仿宋" w:eastAsia="仿宋" w:hAnsi="仿宋" w:cs="仿宋_GB2312" w:hint="eastAsia"/>
          <w:sz w:val="32"/>
          <w:szCs w:val="32"/>
        </w:rPr>
        <w:t xml:space="preserve">　　</w:t>
      </w:r>
      <w:r w:rsidRPr="007C2776">
        <w:rPr>
          <w:rFonts w:ascii="黑体" w:eastAsia="黑体" w:hAnsi="黑体" w:cs="仿宋_GB2312" w:hint="eastAsia"/>
          <w:sz w:val="32"/>
          <w:szCs w:val="32"/>
        </w:rPr>
        <w:t xml:space="preserve">第三十五条 </w:t>
      </w:r>
      <w:r w:rsidRPr="007C2776">
        <w:rPr>
          <w:rFonts w:ascii="仿宋" w:eastAsia="仿宋" w:hAnsi="仿宋" w:cs="仿宋_GB2312" w:hint="eastAsia"/>
          <w:sz w:val="32"/>
          <w:szCs w:val="32"/>
        </w:rPr>
        <w:t xml:space="preserve"> 本办法自2022年7月1日起施行。《防治尾矿污染环境管理规定》（国家环境保护局令第11号）同时废止。</w:t>
      </w:r>
    </w:p>
    <w:sectPr w:rsidR="00B03B15" w:rsidRPr="007C2776" w:rsidSect="00326E18">
      <w:headerReference w:type="default" r:id="rId8"/>
      <w:footerReference w:type="default" r:id="rId9"/>
      <w:pgSz w:w="11906" w:h="16838"/>
      <w:pgMar w:top="1644" w:right="1531" w:bottom="1701" w:left="1531" w:header="851" w:footer="567"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1A6" w:rsidRDefault="007041A6">
      <w:r>
        <w:separator/>
      </w:r>
    </w:p>
  </w:endnote>
  <w:endnote w:type="continuationSeparator" w:id="0">
    <w:p w:rsidR="007041A6" w:rsidRDefault="00704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_GBK">
    <w:altName w:val="Arial Unicode MS"/>
    <w:charset w:val="86"/>
    <w:family w:val="script"/>
    <w:pitch w:val="default"/>
    <w:sig w:usb0="00000000"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B15" w:rsidRDefault="00B03B15">
    <w:pPr>
      <w:pStyle w:val="ab"/>
      <w:framePr w:wrap="around" w:vAnchor="text" w:hAnchor="margin" w:xAlign="outside" w:y="1"/>
      <w:rPr>
        <w:rFonts w:ascii="宋体" w:hAnsi="宋体"/>
        <w:sz w:val="28"/>
        <w:szCs w:val="28"/>
      </w:rPr>
    </w:pPr>
    <w:r>
      <w:rPr>
        <w:rFonts w:ascii="宋体" w:hAnsi="宋体" w:hint="eastAsia"/>
        <w:sz w:val="28"/>
        <w:szCs w:val="28"/>
      </w:rPr>
      <w:t>—</w:t>
    </w:r>
    <w:r>
      <w:rPr>
        <w:rFonts w:ascii="宋体" w:hAnsi="宋体" w:hint="eastAsia"/>
        <w:sz w:val="20"/>
        <w:szCs w:val="20"/>
      </w:rPr>
      <w:t xml:space="preserve">  </w:t>
    </w:r>
    <w:r>
      <w:rPr>
        <w:rFonts w:ascii="宋体" w:hAnsi="宋体"/>
        <w:sz w:val="26"/>
        <w:szCs w:val="26"/>
      </w:rPr>
      <w:fldChar w:fldCharType="begin"/>
    </w:r>
    <w:r>
      <w:rPr>
        <w:rFonts w:ascii="宋体" w:hAnsi="宋体"/>
        <w:sz w:val="26"/>
        <w:szCs w:val="26"/>
      </w:rPr>
      <w:instrText xml:space="preserve">PAGE  </w:instrText>
    </w:r>
    <w:r>
      <w:rPr>
        <w:rFonts w:ascii="宋体" w:hAnsi="宋体"/>
        <w:sz w:val="26"/>
        <w:szCs w:val="26"/>
      </w:rPr>
      <w:fldChar w:fldCharType="separate"/>
    </w:r>
    <w:r w:rsidR="007041A6">
      <w:rPr>
        <w:rFonts w:ascii="宋体" w:hAnsi="宋体"/>
        <w:noProof/>
        <w:sz w:val="26"/>
        <w:szCs w:val="26"/>
      </w:rPr>
      <w:t>1</w:t>
    </w:r>
    <w:r>
      <w:rPr>
        <w:rFonts w:ascii="宋体" w:hAnsi="宋体"/>
        <w:sz w:val="26"/>
        <w:szCs w:val="26"/>
      </w:rPr>
      <w:fldChar w:fldCharType="end"/>
    </w:r>
    <w:r>
      <w:rPr>
        <w:rFonts w:ascii="宋体" w:hAnsi="宋体" w:hint="eastAsia"/>
        <w:sz w:val="20"/>
        <w:szCs w:val="20"/>
      </w:rPr>
      <w:t xml:space="preserve">  </w:t>
    </w:r>
    <w:r>
      <w:rPr>
        <w:rFonts w:ascii="宋体" w:hAnsi="宋体" w:hint="eastAsia"/>
        <w:sz w:val="28"/>
        <w:szCs w:val="28"/>
      </w:rPr>
      <w:t>—</w:t>
    </w:r>
  </w:p>
  <w:p w:rsidR="00B03B15" w:rsidRDefault="00764D01">
    <w:pPr>
      <w:pStyle w:val="ad"/>
      <w:wordWrap w:val="0"/>
      <w:adjustRightInd w:val="0"/>
      <w:snapToGrid w:val="0"/>
      <w:spacing w:beforeLines="100" w:before="240" w:beforeAutospacing="0" w:after="0" w:afterAutospacing="0"/>
      <w:ind w:leftChars="2280" w:left="4788" w:firstLineChars="2000" w:firstLine="4800"/>
      <w:jc w:val="right"/>
    </w:pPr>
    <w:r>
      <w:rPr>
        <w:noProof/>
      </w:rPr>
      <mc:AlternateContent>
        <mc:Choice Requires="wps">
          <w:drawing>
            <wp:anchor distT="0" distB="0" distL="114300" distR="114300" simplePos="0" relativeHeight="251658240" behindDoc="0" locked="0" layoutInCell="1" allowOverlap="1">
              <wp:simplePos x="0" y="0"/>
              <wp:positionH relativeFrom="column">
                <wp:posOffset>26035</wp:posOffset>
              </wp:positionH>
              <wp:positionV relativeFrom="paragraph">
                <wp:posOffset>194310</wp:posOffset>
              </wp:positionV>
              <wp:extent cx="5616575" cy="1905"/>
              <wp:effectExtent l="16510" t="13335" r="15240" b="13335"/>
              <wp:wrapNone/>
              <wp:docPr id="2" name="直接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575" cy="1905"/>
                      </a:xfrm>
                      <a:prstGeom prst="line">
                        <a:avLst/>
                      </a:prstGeom>
                      <a:noFill/>
                      <a:ln w="22225">
                        <a:solidFill>
                          <a:srgbClr val="005192"/>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pt,15.3pt" to="444.3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" strokecolor="#005192" strokeweight="1.75pt">
              <v:stroke joinstyle="miter"/>
            </v:line>
          </w:pict>
        </mc:Fallback>
      </mc:AlternateContent>
    </w:r>
    <w:r w:rsidR="00B03B15">
      <w:rPr>
        <w:rFonts w:hint="eastAsia"/>
      </w:rPr>
      <w:t xml:space="preserve"> </w:t>
    </w:r>
    <w:r w:rsidR="00B03B15">
      <w:rPr>
        <w:rFonts w:cs="宋体" w:hint="eastAsia"/>
        <w:b/>
        <w:bCs/>
        <w:color w:val="005192"/>
        <w:sz w:val="28"/>
        <w:szCs w:val="44"/>
      </w:rPr>
      <w:t>生态环境部发布</w:t>
    </w:r>
    <w:r w:rsidR="00B03B15">
      <w:rPr>
        <w:rFonts w:cs="宋体"/>
        <w:b/>
        <w:bCs/>
        <w:color w:val="005192"/>
        <w:sz w:val="28"/>
        <w:szCs w:val="44"/>
      </w:rPr>
      <w:t xml:space="preserve">     </w:t>
    </w:r>
  </w:p>
  <w:p w:rsidR="00B03B15" w:rsidRDefault="00B03B15" w:rsidP="00430AE3">
    <w:pPr>
      <w:pStyle w:val="ad"/>
      <w:wordWrap w:val="0"/>
      <w:ind w:leftChars="2280" w:left="4788" w:firstLineChars="2000" w:firstLine="5622"/>
      <w:jc w:val="right"/>
      <w:rPr>
        <w:rFonts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1A6" w:rsidRDefault="007041A6">
      <w:r>
        <w:separator/>
      </w:r>
    </w:p>
  </w:footnote>
  <w:footnote w:type="continuationSeparator" w:id="0">
    <w:p w:rsidR="007041A6" w:rsidRDefault="007041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B15" w:rsidRDefault="00764D01">
    <w:pPr>
      <w:pStyle w:val="ad"/>
      <w:textAlignment w:val="center"/>
      <w:rPr>
        <w:rFonts w:cs="宋体" w:hint="eastAsia"/>
        <w:b/>
        <w:bCs/>
        <w:color w:val="005192"/>
        <w:sz w:val="32"/>
      </w:rPr>
    </w:pPr>
    <w:r>
      <w:rPr>
        <w:noProof/>
      </w:rPr>
      <mc:AlternateContent>
        <mc:Choice Requires="wps">
          <w:drawing>
            <wp:anchor distT="0" distB="0" distL="114300" distR="114300" simplePos="0" relativeHeight="251657216" behindDoc="0" locked="0" layoutInCell="1" allowOverlap="1">
              <wp:simplePos x="0" y="0"/>
              <wp:positionH relativeFrom="column">
                <wp:posOffset>-3810</wp:posOffset>
              </wp:positionH>
              <wp:positionV relativeFrom="paragraph">
                <wp:posOffset>404495</wp:posOffset>
              </wp:positionV>
              <wp:extent cx="5615940" cy="0"/>
              <wp:effectExtent l="15240" t="13970" r="17145" b="1460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005192"/>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31.85pt" to="441.9pt,3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" strokecolor="#005192" strokeweight="1.75pt">
              <v:stroke joinstyle="miter"/>
            </v:line>
          </w:pict>
        </mc:Fallback>
      </mc:AlternateContent>
    </w:r>
    <w:r>
      <w:rPr>
        <w:rFonts w:cs="宋体" w:hint="eastAsia"/>
        <w:b/>
        <w:noProof/>
        <w:color w:val="005192"/>
        <w:sz w:val="32"/>
      </w:rPr>
      <w:drawing>
        <wp:inline distT="0" distB="0" distL="0" distR="0">
          <wp:extent cx="308610" cy="308610"/>
          <wp:effectExtent l="0" t="0" r="0" b="0"/>
          <wp:docPr id="1"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国徽10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8610" cy="308610"/>
                  </a:xfrm>
                  <a:prstGeom prst="rect">
                    <a:avLst/>
                  </a:prstGeom>
                  <a:noFill/>
                  <a:ln>
                    <a:noFill/>
                  </a:ln>
                </pic:spPr>
              </pic:pic>
            </a:graphicData>
          </a:graphic>
        </wp:inline>
      </w:drawing>
    </w:r>
    <w:r w:rsidR="00B03B15">
      <w:rPr>
        <w:rFonts w:cs="宋体" w:hint="eastAsia"/>
        <w:b/>
        <w:bCs/>
        <w:color w:val="005192"/>
        <w:sz w:val="32"/>
      </w:rPr>
      <w:t>生态环境部</w:t>
    </w:r>
    <w:r w:rsidR="00B03B15">
      <w:rPr>
        <w:rFonts w:cs="宋体" w:hint="eastAsia"/>
        <w:b/>
        <w:bCs/>
        <w:color w:val="005192"/>
        <w:sz w:val="32"/>
        <w:szCs w:val="32"/>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425494"/>
    <w:multiLevelType w:val="hybridMultilevel"/>
    <w:tmpl w:val="3408A3AC"/>
    <w:lvl w:ilvl="0" w:tplc="D0BEA778">
      <w:start w:val="1"/>
      <w:numFmt w:val="japaneseCounting"/>
      <w:lvlText w:val="第%1条"/>
      <w:lvlJc w:val="left"/>
      <w:pPr>
        <w:ind w:left="1980" w:hanging="1320"/>
      </w:pPr>
      <w:rPr>
        <w:rFonts w:ascii="黑体" w:eastAsia="黑体" w:hAnsi="黑体"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420"/>
  <w:doNotHyphenateCaps/>
  <w:drawingGridVerticalSpacing w:val="156"/>
  <w:displayHorizontalDrawingGridEvery w:val="0"/>
  <w:displayVerticalDrawingGridEvery w:val="2"/>
  <w:characterSpacingControl w:val="compressPunctuation"/>
  <w:savePreviewPicture/>
  <w:doNotValidateAgainstSchema/>
  <w:doNotDemarcateInvalidXml/>
  <w:hdrShapeDefaults>
    <o:shapedefaults v:ext="edit" spidmax="2049" fillcolor="white" strokecolor="#005192">
      <v:fill color="white"/>
      <v:stroke color="#005192" weight="1.7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490"/>
    <w:rsid w:val="00006446"/>
    <w:rsid w:val="000202B3"/>
    <w:rsid w:val="00045526"/>
    <w:rsid w:val="00047DEE"/>
    <w:rsid w:val="000507CD"/>
    <w:rsid w:val="00054621"/>
    <w:rsid w:val="00065748"/>
    <w:rsid w:val="0007145A"/>
    <w:rsid w:val="0008573E"/>
    <w:rsid w:val="00091778"/>
    <w:rsid w:val="000B2A40"/>
    <w:rsid w:val="000C5C7D"/>
    <w:rsid w:val="000E2CA9"/>
    <w:rsid w:val="000E2D30"/>
    <w:rsid w:val="000F3411"/>
    <w:rsid w:val="000F3850"/>
    <w:rsid w:val="00111E17"/>
    <w:rsid w:val="00121533"/>
    <w:rsid w:val="0012620A"/>
    <w:rsid w:val="0013266D"/>
    <w:rsid w:val="00143987"/>
    <w:rsid w:val="001512D4"/>
    <w:rsid w:val="0017178B"/>
    <w:rsid w:val="00172A27"/>
    <w:rsid w:val="00183FF4"/>
    <w:rsid w:val="001B1173"/>
    <w:rsid w:val="001B1E13"/>
    <w:rsid w:val="001C5D05"/>
    <w:rsid w:val="001C66FB"/>
    <w:rsid w:val="0020197C"/>
    <w:rsid w:val="00234C33"/>
    <w:rsid w:val="00250A9C"/>
    <w:rsid w:val="00250FEF"/>
    <w:rsid w:val="00253AD3"/>
    <w:rsid w:val="002725E3"/>
    <w:rsid w:val="00277C02"/>
    <w:rsid w:val="00277DC1"/>
    <w:rsid w:val="00293412"/>
    <w:rsid w:val="0029481E"/>
    <w:rsid w:val="002A0CBE"/>
    <w:rsid w:val="002C69B6"/>
    <w:rsid w:val="002D2DE6"/>
    <w:rsid w:val="002D4E07"/>
    <w:rsid w:val="002D713B"/>
    <w:rsid w:val="002E0D77"/>
    <w:rsid w:val="002E33BF"/>
    <w:rsid w:val="002E48C1"/>
    <w:rsid w:val="002E56D9"/>
    <w:rsid w:val="002F49C0"/>
    <w:rsid w:val="00326E18"/>
    <w:rsid w:val="003303E0"/>
    <w:rsid w:val="00342617"/>
    <w:rsid w:val="00342DDE"/>
    <w:rsid w:val="00345EBC"/>
    <w:rsid w:val="00350493"/>
    <w:rsid w:val="0036194A"/>
    <w:rsid w:val="00373617"/>
    <w:rsid w:val="003B1DEE"/>
    <w:rsid w:val="003C5DAD"/>
    <w:rsid w:val="003D52BA"/>
    <w:rsid w:val="003D5993"/>
    <w:rsid w:val="003D70FA"/>
    <w:rsid w:val="003D7AD8"/>
    <w:rsid w:val="003F3066"/>
    <w:rsid w:val="0040247A"/>
    <w:rsid w:val="00405A60"/>
    <w:rsid w:val="00427170"/>
    <w:rsid w:val="00430AE3"/>
    <w:rsid w:val="00433FAC"/>
    <w:rsid w:val="00457F97"/>
    <w:rsid w:val="00462FC3"/>
    <w:rsid w:val="00470BCC"/>
    <w:rsid w:val="004916F7"/>
    <w:rsid w:val="00495A53"/>
    <w:rsid w:val="0049728A"/>
    <w:rsid w:val="004A0083"/>
    <w:rsid w:val="004A40B7"/>
    <w:rsid w:val="004C0DA9"/>
    <w:rsid w:val="004E3341"/>
    <w:rsid w:val="004F2E4E"/>
    <w:rsid w:val="005052C5"/>
    <w:rsid w:val="00542287"/>
    <w:rsid w:val="00544878"/>
    <w:rsid w:val="00556B08"/>
    <w:rsid w:val="00557129"/>
    <w:rsid w:val="00567E42"/>
    <w:rsid w:val="00571B9C"/>
    <w:rsid w:val="005722A5"/>
    <w:rsid w:val="00593DB0"/>
    <w:rsid w:val="005A6DD5"/>
    <w:rsid w:val="005D0C97"/>
    <w:rsid w:val="005D7CDF"/>
    <w:rsid w:val="005E4420"/>
    <w:rsid w:val="005E4A9E"/>
    <w:rsid w:val="005F15F4"/>
    <w:rsid w:val="005F4491"/>
    <w:rsid w:val="005F776A"/>
    <w:rsid w:val="00625ACB"/>
    <w:rsid w:val="006260D9"/>
    <w:rsid w:val="006337C4"/>
    <w:rsid w:val="006355DB"/>
    <w:rsid w:val="00655811"/>
    <w:rsid w:val="00664247"/>
    <w:rsid w:val="0066702E"/>
    <w:rsid w:val="00685380"/>
    <w:rsid w:val="00695AC3"/>
    <w:rsid w:val="00697613"/>
    <w:rsid w:val="006C622D"/>
    <w:rsid w:val="006D6A4E"/>
    <w:rsid w:val="006E0372"/>
    <w:rsid w:val="006F266A"/>
    <w:rsid w:val="007041A6"/>
    <w:rsid w:val="00710079"/>
    <w:rsid w:val="0073628C"/>
    <w:rsid w:val="007376DD"/>
    <w:rsid w:val="00754303"/>
    <w:rsid w:val="00764D01"/>
    <w:rsid w:val="00770149"/>
    <w:rsid w:val="0077046E"/>
    <w:rsid w:val="00770CEC"/>
    <w:rsid w:val="0077331F"/>
    <w:rsid w:val="00786144"/>
    <w:rsid w:val="007B3343"/>
    <w:rsid w:val="007C1857"/>
    <w:rsid w:val="007C2198"/>
    <w:rsid w:val="007C2776"/>
    <w:rsid w:val="007C6EB9"/>
    <w:rsid w:val="007D01FD"/>
    <w:rsid w:val="007D583F"/>
    <w:rsid w:val="007D67D9"/>
    <w:rsid w:val="007D7D02"/>
    <w:rsid w:val="007E7B72"/>
    <w:rsid w:val="007F6AED"/>
    <w:rsid w:val="00802C40"/>
    <w:rsid w:val="008107E4"/>
    <w:rsid w:val="00810FFE"/>
    <w:rsid w:val="0081265A"/>
    <w:rsid w:val="008142CD"/>
    <w:rsid w:val="008218A4"/>
    <w:rsid w:val="008259E8"/>
    <w:rsid w:val="00831E89"/>
    <w:rsid w:val="008328DC"/>
    <w:rsid w:val="00833BC5"/>
    <w:rsid w:val="00836502"/>
    <w:rsid w:val="00842EAE"/>
    <w:rsid w:val="008526F9"/>
    <w:rsid w:val="00854EF1"/>
    <w:rsid w:val="0085591F"/>
    <w:rsid w:val="00863DF5"/>
    <w:rsid w:val="00877887"/>
    <w:rsid w:val="00880DA0"/>
    <w:rsid w:val="008816C8"/>
    <w:rsid w:val="00885158"/>
    <w:rsid w:val="00885672"/>
    <w:rsid w:val="00890785"/>
    <w:rsid w:val="00895684"/>
    <w:rsid w:val="008A1DCA"/>
    <w:rsid w:val="008A4C1A"/>
    <w:rsid w:val="008B1CFE"/>
    <w:rsid w:val="008B6CB1"/>
    <w:rsid w:val="009004E5"/>
    <w:rsid w:val="0090082A"/>
    <w:rsid w:val="00903E5D"/>
    <w:rsid w:val="009045B3"/>
    <w:rsid w:val="0091170D"/>
    <w:rsid w:val="00921E3E"/>
    <w:rsid w:val="009310F6"/>
    <w:rsid w:val="00932649"/>
    <w:rsid w:val="009449E8"/>
    <w:rsid w:val="00946E26"/>
    <w:rsid w:val="009545EE"/>
    <w:rsid w:val="009612AF"/>
    <w:rsid w:val="00961797"/>
    <w:rsid w:val="00975E47"/>
    <w:rsid w:val="009A3290"/>
    <w:rsid w:val="009B5C16"/>
    <w:rsid w:val="009C657A"/>
    <w:rsid w:val="009E1711"/>
    <w:rsid w:val="009F07FA"/>
    <w:rsid w:val="009F799D"/>
    <w:rsid w:val="00A06CAC"/>
    <w:rsid w:val="00A10A7F"/>
    <w:rsid w:val="00A1151D"/>
    <w:rsid w:val="00A11A15"/>
    <w:rsid w:val="00A11B89"/>
    <w:rsid w:val="00A31EE5"/>
    <w:rsid w:val="00A338ED"/>
    <w:rsid w:val="00A3550B"/>
    <w:rsid w:val="00A35725"/>
    <w:rsid w:val="00A55955"/>
    <w:rsid w:val="00A55CB7"/>
    <w:rsid w:val="00A56B37"/>
    <w:rsid w:val="00A574AD"/>
    <w:rsid w:val="00AA215A"/>
    <w:rsid w:val="00AA64DF"/>
    <w:rsid w:val="00AA675D"/>
    <w:rsid w:val="00AB59E8"/>
    <w:rsid w:val="00AB7394"/>
    <w:rsid w:val="00AC6D5A"/>
    <w:rsid w:val="00AC786E"/>
    <w:rsid w:val="00AE116F"/>
    <w:rsid w:val="00AE7FF1"/>
    <w:rsid w:val="00B012B8"/>
    <w:rsid w:val="00B03B15"/>
    <w:rsid w:val="00B15283"/>
    <w:rsid w:val="00B1713F"/>
    <w:rsid w:val="00B23EF7"/>
    <w:rsid w:val="00B34B50"/>
    <w:rsid w:val="00B9662E"/>
    <w:rsid w:val="00BB19B4"/>
    <w:rsid w:val="00BD2044"/>
    <w:rsid w:val="00BD2962"/>
    <w:rsid w:val="00BD4A5F"/>
    <w:rsid w:val="00BE57C4"/>
    <w:rsid w:val="00C01FCE"/>
    <w:rsid w:val="00C07531"/>
    <w:rsid w:val="00C2694B"/>
    <w:rsid w:val="00C30A0B"/>
    <w:rsid w:val="00C40A5A"/>
    <w:rsid w:val="00C61FB1"/>
    <w:rsid w:val="00C646E5"/>
    <w:rsid w:val="00C94830"/>
    <w:rsid w:val="00C95FD3"/>
    <w:rsid w:val="00CD6839"/>
    <w:rsid w:val="00CF5506"/>
    <w:rsid w:val="00D00F88"/>
    <w:rsid w:val="00D01502"/>
    <w:rsid w:val="00D10E2B"/>
    <w:rsid w:val="00D11C57"/>
    <w:rsid w:val="00D1351A"/>
    <w:rsid w:val="00D14F0B"/>
    <w:rsid w:val="00D16D4B"/>
    <w:rsid w:val="00D25565"/>
    <w:rsid w:val="00D4514C"/>
    <w:rsid w:val="00D4543F"/>
    <w:rsid w:val="00D4760E"/>
    <w:rsid w:val="00D738F0"/>
    <w:rsid w:val="00D76F5C"/>
    <w:rsid w:val="00D92F32"/>
    <w:rsid w:val="00DA60B7"/>
    <w:rsid w:val="00DB0066"/>
    <w:rsid w:val="00DC3F55"/>
    <w:rsid w:val="00DC63DC"/>
    <w:rsid w:val="00DC710C"/>
    <w:rsid w:val="00DD5FD2"/>
    <w:rsid w:val="00DF698A"/>
    <w:rsid w:val="00E10D38"/>
    <w:rsid w:val="00E214BC"/>
    <w:rsid w:val="00E2339D"/>
    <w:rsid w:val="00E420E3"/>
    <w:rsid w:val="00E51CD8"/>
    <w:rsid w:val="00E739BA"/>
    <w:rsid w:val="00E96698"/>
    <w:rsid w:val="00EB1A82"/>
    <w:rsid w:val="00EB33FD"/>
    <w:rsid w:val="00EB7CD1"/>
    <w:rsid w:val="00EC6B62"/>
    <w:rsid w:val="00EE104B"/>
    <w:rsid w:val="00EE44BC"/>
    <w:rsid w:val="00EE4F58"/>
    <w:rsid w:val="00EE6734"/>
    <w:rsid w:val="00EE7AD9"/>
    <w:rsid w:val="00EF417A"/>
    <w:rsid w:val="00EF471D"/>
    <w:rsid w:val="00EF520A"/>
    <w:rsid w:val="00F03029"/>
    <w:rsid w:val="00F05255"/>
    <w:rsid w:val="00F13944"/>
    <w:rsid w:val="00F37718"/>
    <w:rsid w:val="00F37D39"/>
    <w:rsid w:val="00F4229D"/>
    <w:rsid w:val="00F67D23"/>
    <w:rsid w:val="00F845E0"/>
    <w:rsid w:val="00F96ED4"/>
    <w:rsid w:val="00F97459"/>
    <w:rsid w:val="00FC6027"/>
    <w:rsid w:val="00FF327A"/>
    <w:rsid w:val="00FF405B"/>
    <w:rsid w:val="019E71BD"/>
    <w:rsid w:val="04B679C3"/>
    <w:rsid w:val="080F63D8"/>
    <w:rsid w:val="09341458"/>
    <w:rsid w:val="0B0912D7"/>
    <w:rsid w:val="152D2DCA"/>
    <w:rsid w:val="19EF4A15"/>
    <w:rsid w:val="1DEC284C"/>
    <w:rsid w:val="1E6523AC"/>
    <w:rsid w:val="22440422"/>
    <w:rsid w:val="24985242"/>
    <w:rsid w:val="2EA97867"/>
    <w:rsid w:val="31A15F24"/>
    <w:rsid w:val="395347B5"/>
    <w:rsid w:val="39A232A0"/>
    <w:rsid w:val="39E745AA"/>
    <w:rsid w:val="3B5A6BBB"/>
    <w:rsid w:val="3EDA13A6"/>
    <w:rsid w:val="42F058B7"/>
    <w:rsid w:val="436109F6"/>
    <w:rsid w:val="441A38D4"/>
    <w:rsid w:val="4BC77339"/>
    <w:rsid w:val="4C9236C5"/>
    <w:rsid w:val="505C172E"/>
    <w:rsid w:val="50CA7AE5"/>
    <w:rsid w:val="52F46F0B"/>
    <w:rsid w:val="53D8014D"/>
    <w:rsid w:val="55E064E0"/>
    <w:rsid w:val="572C6D10"/>
    <w:rsid w:val="5DC34279"/>
    <w:rsid w:val="608816D1"/>
    <w:rsid w:val="60EF4E7F"/>
    <w:rsid w:val="665233C1"/>
    <w:rsid w:val="6AD9688B"/>
    <w:rsid w:val="6D0E3F22"/>
    <w:rsid w:val="7C9011D9"/>
    <w:rsid w:val="7DC651C5"/>
    <w:rsid w:val="7FCC2834"/>
    <w:rsid w:val="BA3F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color="#005192">
      <v:fill color="white"/>
      <v:stroke color="#005192" weight="1.75pt"/>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semiHidden="1"/>
    <w:lsdException w:name="footnote text" w:semiHidden="1"/>
    <w:lsdException w:name="annotation text" w:semiHidden="1"/>
    <w:lsdException w:name="caption" w:locked="1" w:semiHidden="1" w:unhideWhenUsed="1" w:qFormat="1"/>
    <w:lsdException w:name="footnote reference" w:semiHidden="1"/>
    <w:lsdException w:name="Title" w:locked="1" w:qFormat="1"/>
    <w:lsdException w:name="Default Paragraph Font" w:semiHidden="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1"/>
    <w:lsdException w:name="Table Theme" w:lock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locked/>
    <w:pPr>
      <w:snapToGrid w:val="0"/>
      <w:spacing w:afterLines="20" w:line="360" w:lineRule="auto"/>
      <w:ind w:left="1620" w:hanging="1620"/>
      <w:outlineLvl w:val="0"/>
    </w:pPr>
    <w:rPr>
      <w:rFonts w:ascii="黑体" w:eastAsia="黑体" w:hAnsi="宋体"/>
      <w:b/>
      <w:spacing w:val="-6"/>
      <w:sz w:val="44"/>
    </w:rPr>
  </w:style>
  <w:style w:type="paragraph" w:styleId="3">
    <w:name w:val="heading 3"/>
    <w:basedOn w:val="a"/>
    <w:next w:val="a"/>
    <w:link w:val="3Char"/>
    <w:qFormat/>
    <w:locked/>
    <w:pPr>
      <w:ind w:leftChars="-1" w:left="539" w:hangingChars="187" w:hanging="541"/>
      <w:outlineLvl w:val="2"/>
    </w:pPr>
    <w:rPr>
      <w:rFonts w:ascii="宋体" w:hAnsi="宋体"/>
      <w:b/>
      <w:spacing w:val="-6"/>
      <w:kern w:val="0"/>
      <w:sz w:val="30"/>
      <w:szCs w:val="30"/>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link w:val="3"/>
    <w:locked/>
    <w:rPr>
      <w:rFonts w:ascii="宋体" w:eastAsia="宋体" w:hAnsi="宋体"/>
      <w:b/>
      <w:spacing w:val="-6"/>
      <w:sz w:val="30"/>
      <w:szCs w:val="30"/>
      <w:lang w:val="en-US" w:eastAsia="zh-CN" w:bidi="ar-SA"/>
    </w:rPr>
  </w:style>
  <w:style w:type="paragraph" w:styleId="a3">
    <w:name w:val="annotation text"/>
    <w:basedOn w:val="a"/>
    <w:semiHidden/>
    <w:pPr>
      <w:jc w:val="left"/>
    </w:pPr>
  </w:style>
  <w:style w:type="paragraph" w:styleId="a4">
    <w:name w:val="Salutation"/>
    <w:basedOn w:val="a"/>
    <w:next w:val="a"/>
    <w:rPr>
      <w:rFonts w:ascii="仿宋_GB2312" w:eastAsia="仿宋_GB2312"/>
      <w:sz w:val="32"/>
      <w:szCs w:val="32"/>
    </w:rPr>
  </w:style>
  <w:style w:type="paragraph" w:styleId="a5">
    <w:name w:val="Body Text"/>
    <w:basedOn w:val="a"/>
    <w:pPr>
      <w:spacing w:after="120"/>
    </w:pPr>
    <w:rPr>
      <w:rFonts w:ascii="Times New Roman" w:hAnsi="Times New Roman"/>
    </w:rPr>
  </w:style>
  <w:style w:type="paragraph" w:styleId="a6">
    <w:name w:val="Body Text Indent"/>
    <w:basedOn w:val="a"/>
    <w:pPr>
      <w:spacing w:after="120"/>
      <w:ind w:leftChars="200" w:left="200"/>
    </w:pPr>
    <w:rPr>
      <w:rFonts w:ascii="Times New Roman" w:hAnsi="Times New Roman"/>
    </w:rPr>
  </w:style>
  <w:style w:type="paragraph" w:styleId="a7">
    <w:name w:val="Block Text"/>
    <w:basedOn w:val="a"/>
    <w:pPr>
      <w:autoSpaceDE w:val="0"/>
      <w:autoSpaceDN w:val="0"/>
      <w:adjustRightInd w:val="0"/>
      <w:spacing w:line="560" w:lineRule="atLeast"/>
      <w:ind w:left="-108" w:right="45"/>
    </w:pPr>
    <w:rPr>
      <w:rFonts w:ascii="宋体" w:hAnsi="宋体"/>
      <w:b/>
      <w:sz w:val="36"/>
    </w:rPr>
  </w:style>
  <w:style w:type="paragraph" w:styleId="a8">
    <w:name w:val="Plain Text"/>
    <w:basedOn w:val="a"/>
    <w:rPr>
      <w:rFonts w:ascii="宋体" w:hAnsi="Courier New"/>
      <w:szCs w:val="21"/>
    </w:rPr>
  </w:style>
  <w:style w:type="paragraph" w:styleId="2">
    <w:name w:val="Body Text Indent 2"/>
    <w:basedOn w:val="a"/>
    <w:pPr>
      <w:spacing w:after="120" w:line="480" w:lineRule="auto"/>
      <w:ind w:leftChars="200" w:left="200"/>
    </w:pPr>
    <w:rPr>
      <w:rFonts w:ascii="Times New Roman" w:hAnsi="Times New Roman"/>
    </w:rPr>
  </w:style>
  <w:style w:type="paragraph" w:styleId="a9">
    <w:name w:val="Balloon Text"/>
    <w:basedOn w:val="a"/>
    <w:link w:val="Char"/>
    <w:semiHidden/>
    <w:rPr>
      <w:sz w:val="18"/>
      <w:szCs w:val="18"/>
    </w:rPr>
  </w:style>
  <w:style w:type="character" w:customStyle="1" w:styleId="Char">
    <w:name w:val="批注框文本 Char"/>
    <w:link w:val="a9"/>
    <w:locked/>
    <w:rPr>
      <w:rFonts w:ascii="Calibri" w:eastAsia="宋体" w:hAnsi="Calibri"/>
      <w:kern w:val="2"/>
      <w:sz w:val="18"/>
      <w:szCs w:val="18"/>
      <w:lang w:val="en-US" w:eastAsia="zh-CN" w:bidi="ar-SA"/>
    </w:rPr>
  </w:style>
  <w:style w:type="paragraph" w:styleId="aa">
    <w:name w:val="footer"/>
    <w:basedOn w:val="a"/>
    <w:pPr>
      <w:tabs>
        <w:tab w:val="center" w:pos="4153"/>
        <w:tab w:val="right" w:pos="8306"/>
      </w:tabs>
      <w:snapToGrid w:val="0"/>
      <w:jc w:val="left"/>
    </w:pPr>
    <w:rPr>
      <w:sz w:val="18"/>
    </w:rPr>
  </w:style>
  <w:style w:type="paragraph" w:styleId="ab">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semiHidden/>
    <w:pPr>
      <w:tabs>
        <w:tab w:val="right" w:leader="dot" w:pos="8834"/>
      </w:tabs>
      <w:adjustRightInd w:val="0"/>
      <w:snapToGrid w:val="0"/>
      <w:jc w:val="center"/>
    </w:pPr>
    <w:rPr>
      <w:rFonts w:ascii="黑体" w:eastAsia="黑体" w:hAnsi="黑体"/>
      <w:sz w:val="44"/>
      <w:szCs w:val="44"/>
    </w:rPr>
  </w:style>
  <w:style w:type="paragraph" w:styleId="ac">
    <w:name w:val="footnote text"/>
    <w:basedOn w:val="a"/>
    <w:semiHidden/>
    <w:pPr>
      <w:snapToGrid w:val="0"/>
      <w:jc w:val="left"/>
    </w:pPr>
    <w:rPr>
      <w:sz w:val="18"/>
    </w:rPr>
  </w:style>
  <w:style w:type="paragraph" w:styleId="ad">
    <w:name w:val="Normal (Web)"/>
    <w:basedOn w:val="a"/>
    <w:pPr>
      <w:widowControl/>
      <w:spacing w:before="100" w:beforeAutospacing="1" w:after="100" w:afterAutospacing="1"/>
      <w:jc w:val="left"/>
    </w:pPr>
    <w:rPr>
      <w:rFonts w:ascii="宋体" w:hAnsi="宋体"/>
      <w:kern w:val="0"/>
      <w:sz w:val="24"/>
    </w:rPr>
  </w:style>
  <w:style w:type="character" w:styleId="ae">
    <w:name w:val="Strong"/>
    <w:qFormat/>
    <w:locked/>
    <w:rPr>
      <w:rFonts w:cs="Times New Roman"/>
      <w:b/>
      <w:bCs/>
    </w:rPr>
  </w:style>
  <w:style w:type="character" w:styleId="af">
    <w:name w:val="page number"/>
    <w:rPr>
      <w:rFonts w:cs="Times New Roman"/>
    </w:rPr>
  </w:style>
  <w:style w:type="character" w:styleId="af0">
    <w:name w:val="Hyperlink"/>
    <w:rPr>
      <w:color w:val="0000FF"/>
      <w:u w:val="single"/>
    </w:rPr>
  </w:style>
  <w:style w:type="character" w:styleId="af1">
    <w:name w:val="footnote reference"/>
    <w:semiHidden/>
    <w:rPr>
      <w:rFonts w:cs="Times New Roman"/>
      <w:vertAlign w:val="superscript"/>
    </w:rPr>
  </w:style>
  <w:style w:type="paragraph" w:customStyle="1" w:styleId="11111">
    <w:name w:val="一级标题11111"/>
    <w:basedOn w:val="a"/>
    <w:pPr>
      <w:adjustRightInd w:val="0"/>
      <w:snapToGrid w:val="0"/>
      <w:jc w:val="center"/>
    </w:pPr>
    <w:rPr>
      <w:rFonts w:ascii="宋体" w:eastAsia="方正小标宋_GBK" w:hAnsi="宋体"/>
      <w:bCs/>
      <w:sz w:val="44"/>
      <w:szCs w:val="44"/>
    </w:rPr>
  </w:style>
  <w:style w:type="paragraph" w:customStyle="1" w:styleId="11">
    <w:name w:val="样式1"/>
    <w:basedOn w:val="a"/>
    <w:pPr>
      <w:tabs>
        <w:tab w:val="left" w:pos="540"/>
      </w:tabs>
      <w:adjustRightInd w:val="0"/>
      <w:snapToGrid w:val="0"/>
      <w:spacing w:line="288" w:lineRule="auto"/>
      <w:ind w:left="200" w:hangingChars="200" w:hanging="200"/>
    </w:pPr>
    <w:rPr>
      <w:rFonts w:ascii="Times New Roman" w:hAnsi="Times New Roman"/>
      <w:color w:val="000000"/>
      <w:szCs w:val="21"/>
    </w:rPr>
  </w:style>
  <w:style w:type="paragraph" w:customStyle="1" w:styleId="ListParagraph1">
    <w:name w:val="List Paragraph1"/>
    <w:basedOn w:val="a"/>
    <w:pPr>
      <w:ind w:firstLineChars="200" w:firstLine="420"/>
    </w:pPr>
  </w:style>
  <w:style w:type="paragraph" w:customStyle="1" w:styleId="22505050">
    <w:name w:val="样式 样式 标题 2 + 左侧:  2 字符 悬挂缩进: 5 字符 段前: 0.5 行 段后: 0.5 行 + 左侧:  0 厘..."/>
    <w:basedOn w:val="a"/>
    <w:pPr>
      <w:widowControl/>
      <w:snapToGrid w:val="0"/>
      <w:jc w:val="left"/>
      <w:outlineLvl w:val="1"/>
    </w:pPr>
    <w:rPr>
      <w:rFonts w:ascii="宋体" w:hAnsi="宋体" w:cs="宋体"/>
      <w:bCs/>
      <w:color w:val="000000"/>
      <w:kern w:val="0"/>
      <w:sz w:val="24"/>
    </w:rPr>
  </w:style>
  <w:style w:type="paragraph" w:customStyle="1" w:styleId="TableParagraph">
    <w:name w:val="Table Paragraph"/>
    <w:basedOn w:val="a"/>
    <w:pPr>
      <w:autoSpaceDE w:val="0"/>
      <w:autoSpaceDN w:val="0"/>
      <w:jc w:val="left"/>
    </w:pPr>
    <w:rPr>
      <w:rFonts w:ascii="宋体" w:hAnsi="宋体" w:cs="宋体"/>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semiHidden="1"/>
    <w:lsdException w:name="footnote text" w:semiHidden="1"/>
    <w:lsdException w:name="annotation text" w:semiHidden="1"/>
    <w:lsdException w:name="caption" w:locked="1" w:semiHidden="1" w:unhideWhenUsed="1" w:qFormat="1"/>
    <w:lsdException w:name="footnote reference" w:semiHidden="1"/>
    <w:lsdException w:name="Title" w:locked="1" w:qFormat="1"/>
    <w:lsdException w:name="Default Paragraph Font" w:semiHidden="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1"/>
    <w:lsdException w:name="Table Theme" w:lock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locked/>
    <w:pPr>
      <w:snapToGrid w:val="0"/>
      <w:spacing w:afterLines="20" w:line="360" w:lineRule="auto"/>
      <w:ind w:left="1620" w:hanging="1620"/>
      <w:outlineLvl w:val="0"/>
    </w:pPr>
    <w:rPr>
      <w:rFonts w:ascii="黑体" w:eastAsia="黑体" w:hAnsi="宋体"/>
      <w:b/>
      <w:spacing w:val="-6"/>
      <w:sz w:val="44"/>
    </w:rPr>
  </w:style>
  <w:style w:type="paragraph" w:styleId="3">
    <w:name w:val="heading 3"/>
    <w:basedOn w:val="a"/>
    <w:next w:val="a"/>
    <w:link w:val="3Char"/>
    <w:qFormat/>
    <w:locked/>
    <w:pPr>
      <w:ind w:leftChars="-1" w:left="539" w:hangingChars="187" w:hanging="541"/>
      <w:outlineLvl w:val="2"/>
    </w:pPr>
    <w:rPr>
      <w:rFonts w:ascii="宋体" w:hAnsi="宋体"/>
      <w:b/>
      <w:spacing w:val="-6"/>
      <w:kern w:val="0"/>
      <w:sz w:val="30"/>
      <w:szCs w:val="30"/>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link w:val="3"/>
    <w:locked/>
    <w:rPr>
      <w:rFonts w:ascii="宋体" w:eastAsia="宋体" w:hAnsi="宋体"/>
      <w:b/>
      <w:spacing w:val="-6"/>
      <w:sz w:val="30"/>
      <w:szCs w:val="30"/>
      <w:lang w:val="en-US" w:eastAsia="zh-CN" w:bidi="ar-SA"/>
    </w:rPr>
  </w:style>
  <w:style w:type="paragraph" w:styleId="a3">
    <w:name w:val="annotation text"/>
    <w:basedOn w:val="a"/>
    <w:semiHidden/>
    <w:pPr>
      <w:jc w:val="left"/>
    </w:pPr>
  </w:style>
  <w:style w:type="paragraph" w:styleId="a4">
    <w:name w:val="Salutation"/>
    <w:basedOn w:val="a"/>
    <w:next w:val="a"/>
    <w:rPr>
      <w:rFonts w:ascii="仿宋_GB2312" w:eastAsia="仿宋_GB2312"/>
      <w:sz w:val="32"/>
      <w:szCs w:val="32"/>
    </w:rPr>
  </w:style>
  <w:style w:type="paragraph" w:styleId="a5">
    <w:name w:val="Body Text"/>
    <w:basedOn w:val="a"/>
    <w:pPr>
      <w:spacing w:after="120"/>
    </w:pPr>
    <w:rPr>
      <w:rFonts w:ascii="Times New Roman" w:hAnsi="Times New Roman"/>
    </w:rPr>
  </w:style>
  <w:style w:type="paragraph" w:styleId="a6">
    <w:name w:val="Body Text Indent"/>
    <w:basedOn w:val="a"/>
    <w:pPr>
      <w:spacing w:after="120"/>
      <w:ind w:leftChars="200" w:left="200"/>
    </w:pPr>
    <w:rPr>
      <w:rFonts w:ascii="Times New Roman" w:hAnsi="Times New Roman"/>
    </w:rPr>
  </w:style>
  <w:style w:type="paragraph" w:styleId="a7">
    <w:name w:val="Block Text"/>
    <w:basedOn w:val="a"/>
    <w:pPr>
      <w:autoSpaceDE w:val="0"/>
      <w:autoSpaceDN w:val="0"/>
      <w:adjustRightInd w:val="0"/>
      <w:spacing w:line="560" w:lineRule="atLeast"/>
      <w:ind w:left="-108" w:right="45"/>
    </w:pPr>
    <w:rPr>
      <w:rFonts w:ascii="宋体" w:hAnsi="宋体"/>
      <w:b/>
      <w:sz w:val="36"/>
    </w:rPr>
  </w:style>
  <w:style w:type="paragraph" w:styleId="a8">
    <w:name w:val="Plain Text"/>
    <w:basedOn w:val="a"/>
    <w:rPr>
      <w:rFonts w:ascii="宋体" w:hAnsi="Courier New"/>
      <w:szCs w:val="21"/>
    </w:rPr>
  </w:style>
  <w:style w:type="paragraph" w:styleId="2">
    <w:name w:val="Body Text Indent 2"/>
    <w:basedOn w:val="a"/>
    <w:pPr>
      <w:spacing w:after="120" w:line="480" w:lineRule="auto"/>
      <w:ind w:leftChars="200" w:left="200"/>
    </w:pPr>
    <w:rPr>
      <w:rFonts w:ascii="Times New Roman" w:hAnsi="Times New Roman"/>
    </w:rPr>
  </w:style>
  <w:style w:type="paragraph" w:styleId="a9">
    <w:name w:val="Balloon Text"/>
    <w:basedOn w:val="a"/>
    <w:link w:val="Char"/>
    <w:semiHidden/>
    <w:rPr>
      <w:sz w:val="18"/>
      <w:szCs w:val="18"/>
    </w:rPr>
  </w:style>
  <w:style w:type="character" w:customStyle="1" w:styleId="Char">
    <w:name w:val="批注框文本 Char"/>
    <w:link w:val="a9"/>
    <w:locked/>
    <w:rPr>
      <w:rFonts w:ascii="Calibri" w:eastAsia="宋体" w:hAnsi="Calibri"/>
      <w:kern w:val="2"/>
      <w:sz w:val="18"/>
      <w:szCs w:val="18"/>
      <w:lang w:val="en-US" w:eastAsia="zh-CN" w:bidi="ar-SA"/>
    </w:rPr>
  </w:style>
  <w:style w:type="paragraph" w:styleId="aa">
    <w:name w:val="footer"/>
    <w:basedOn w:val="a"/>
    <w:pPr>
      <w:tabs>
        <w:tab w:val="center" w:pos="4153"/>
        <w:tab w:val="right" w:pos="8306"/>
      </w:tabs>
      <w:snapToGrid w:val="0"/>
      <w:jc w:val="left"/>
    </w:pPr>
    <w:rPr>
      <w:sz w:val="18"/>
    </w:rPr>
  </w:style>
  <w:style w:type="paragraph" w:styleId="ab">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semiHidden/>
    <w:pPr>
      <w:tabs>
        <w:tab w:val="right" w:leader="dot" w:pos="8834"/>
      </w:tabs>
      <w:adjustRightInd w:val="0"/>
      <w:snapToGrid w:val="0"/>
      <w:jc w:val="center"/>
    </w:pPr>
    <w:rPr>
      <w:rFonts w:ascii="黑体" w:eastAsia="黑体" w:hAnsi="黑体"/>
      <w:sz w:val="44"/>
      <w:szCs w:val="44"/>
    </w:rPr>
  </w:style>
  <w:style w:type="paragraph" w:styleId="ac">
    <w:name w:val="footnote text"/>
    <w:basedOn w:val="a"/>
    <w:semiHidden/>
    <w:pPr>
      <w:snapToGrid w:val="0"/>
      <w:jc w:val="left"/>
    </w:pPr>
    <w:rPr>
      <w:sz w:val="18"/>
    </w:rPr>
  </w:style>
  <w:style w:type="paragraph" w:styleId="ad">
    <w:name w:val="Normal (Web)"/>
    <w:basedOn w:val="a"/>
    <w:pPr>
      <w:widowControl/>
      <w:spacing w:before="100" w:beforeAutospacing="1" w:after="100" w:afterAutospacing="1"/>
      <w:jc w:val="left"/>
    </w:pPr>
    <w:rPr>
      <w:rFonts w:ascii="宋体" w:hAnsi="宋体"/>
      <w:kern w:val="0"/>
      <w:sz w:val="24"/>
    </w:rPr>
  </w:style>
  <w:style w:type="character" w:styleId="ae">
    <w:name w:val="Strong"/>
    <w:qFormat/>
    <w:locked/>
    <w:rPr>
      <w:rFonts w:cs="Times New Roman"/>
      <w:b/>
      <w:bCs/>
    </w:rPr>
  </w:style>
  <w:style w:type="character" w:styleId="af">
    <w:name w:val="page number"/>
    <w:rPr>
      <w:rFonts w:cs="Times New Roman"/>
    </w:rPr>
  </w:style>
  <w:style w:type="character" w:styleId="af0">
    <w:name w:val="Hyperlink"/>
    <w:rPr>
      <w:color w:val="0000FF"/>
      <w:u w:val="single"/>
    </w:rPr>
  </w:style>
  <w:style w:type="character" w:styleId="af1">
    <w:name w:val="footnote reference"/>
    <w:semiHidden/>
    <w:rPr>
      <w:rFonts w:cs="Times New Roman"/>
      <w:vertAlign w:val="superscript"/>
    </w:rPr>
  </w:style>
  <w:style w:type="paragraph" w:customStyle="1" w:styleId="11111">
    <w:name w:val="一级标题11111"/>
    <w:basedOn w:val="a"/>
    <w:pPr>
      <w:adjustRightInd w:val="0"/>
      <w:snapToGrid w:val="0"/>
      <w:jc w:val="center"/>
    </w:pPr>
    <w:rPr>
      <w:rFonts w:ascii="宋体" w:eastAsia="方正小标宋_GBK" w:hAnsi="宋体"/>
      <w:bCs/>
      <w:sz w:val="44"/>
      <w:szCs w:val="44"/>
    </w:rPr>
  </w:style>
  <w:style w:type="paragraph" w:customStyle="1" w:styleId="11">
    <w:name w:val="样式1"/>
    <w:basedOn w:val="a"/>
    <w:pPr>
      <w:tabs>
        <w:tab w:val="left" w:pos="540"/>
      </w:tabs>
      <w:adjustRightInd w:val="0"/>
      <w:snapToGrid w:val="0"/>
      <w:spacing w:line="288" w:lineRule="auto"/>
      <w:ind w:left="200" w:hangingChars="200" w:hanging="200"/>
    </w:pPr>
    <w:rPr>
      <w:rFonts w:ascii="Times New Roman" w:hAnsi="Times New Roman"/>
      <w:color w:val="000000"/>
      <w:szCs w:val="21"/>
    </w:rPr>
  </w:style>
  <w:style w:type="paragraph" w:customStyle="1" w:styleId="ListParagraph1">
    <w:name w:val="List Paragraph1"/>
    <w:basedOn w:val="a"/>
    <w:pPr>
      <w:ind w:firstLineChars="200" w:firstLine="420"/>
    </w:pPr>
  </w:style>
  <w:style w:type="paragraph" w:customStyle="1" w:styleId="22505050">
    <w:name w:val="样式 样式 标题 2 + 左侧:  2 字符 悬挂缩进: 5 字符 段前: 0.5 行 段后: 0.5 行 + 左侧:  0 厘..."/>
    <w:basedOn w:val="a"/>
    <w:pPr>
      <w:widowControl/>
      <w:snapToGrid w:val="0"/>
      <w:jc w:val="left"/>
      <w:outlineLvl w:val="1"/>
    </w:pPr>
    <w:rPr>
      <w:rFonts w:ascii="宋体" w:hAnsi="宋体" w:cs="宋体"/>
      <w:bCs/>
      <w:color w:val="000000"/>
      <w:kern w:val="0"/>
      <w:sz w:val="24"/>
    </w:rPr>
  </w:style>
  <w:style w:type="paragraph" w:customStyle="1" w:styleId="TableParagraph">
    <w:name w:val="Table Paragraph"/>
    <w:basedOn w:val="a"/>
    <w:pPr>
      <w:autoSpaceDE w:val="0"/>
      <w:autoSpaceDN w:val="0"/>
      <w:jc w:val="left"/>
    </w:pPr>
    <w:rPr>
      <w:rFonts w:ascii="宋体" w:hAnsi="宋体" w:cs="宋体"/>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824260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693</Words>
  <Characters>3951</Characters>
  <Application>Microsoft Office Word</Application>
  <DocSecurity>0</DocSecurity>
  <Lines>32</Lines>
  <Paragraphs>9</Paragraphs>
  <ScaleCrop>false</ScaleCrop>
  <Company/>
  <LinksUpToDate>false</LinksUpToDate>
  <CharactersWithSpaces>4635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放射性同位素与射线装置安全许可管理办法</dc:title>
  <dc:creator>t</dc:creator>
  <cp:lastModifiedBy>王丽平</cp:lastModifiedBy>
  <cp:revision>2</cp:revision>
  <cp:lastPrinted>2022-04-14T11:50:00Z</cp:lastPrinted>
  <dcterms:created xsi:type="dcterms:W3CDTF">2022-04-14T12:03:00Z</dcterms:created>
  <dcterms:modified xsi:type="dcterms:W3CDTF">2022-04-14T12:03:00Z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48C61CB29D3F4D9384F5922CF0F7FFB4</vt:lpwstr>
  </property>
</Properties>
</file>